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11413CD" w14:textId="77777777" w:rsidR="00965C8A" w:rsidRPr="00366BEC" w:rsidRDefault="001F5523" w:rsidP="00366BEC">
      <w:pPr>
        <w:pStyle w:val="normal0"/>
        <w:tabs>
          <w:tab w:val="center" w:pos="4320"/>
          <w:tab w:val="right" w:pos="8640"/>
        </w:tabs>
        <w:ind w:left="0" w:firstLine="0"/>
        <w:rPr>
          <w:rFonts w:ascii="Arial" w:hAnsi="Arial" w:cs="Arial"/>
          <w:b/>
          <w:sz w:val="32"/>
          <w:szCs w:val="32"/>
        </w:rPr>
      </w:pPr>
      <w:bookmarkStart w:id="0" w:name="_GoBack"/>
      <w:proofErr w:type="spellStart"/>
      <w:r w:rsidRPr="00366BEC">
        <w:rPr>
          <w:rFonts w:ascii="Arial" w:hAnsi="Arial" w:cs="Arial"/>
          <w:b/>
          <w:sz w:val="32"/>
          <w:szCs w:val="32"/>
        </w:rPr>
        <w:t>Schistosoma</w:t>
      </w:r>
      <w:proofErr w:type="spellEnd"/>
      <w:r w:rsidRPr="00366BEC">
        <w:rPr>
          <w:rFonts w:ascii="Arial" w:hAnsi="Arial" w:cs="Arial"/>
          <w:b/>
          <w:sz w:val="32"/>
          <w:szCs w:val="32"/>
        </w:rPr>
        <w:t xml:space="preserve"> </w:t>
      </w:r>
      <w:proofErr w:type="spellStart"/>
      <w:r w:rsidRPr="00366BEC">
        <w:rPr>
          <w:rFonts w:ascii="Arial" w:hAnsi="Arial" w:cs="Arial"/>
          <w:b/>
          <w:sz w:val="32"/>
          <w:szCs w:val="32"/>
        </w:rPr>
        <w:t>mansoni</w:t>
      </w:r>
      <w:proofErr w:type="spellEnd"/>
      <w:r w:rsidRPr="00366BEC">
        <w:rPr>
          <w:rFonts w:ascii="Arial" w:hAnsi="Arial" w:cs="Arial"/>
          <w:b/>
          <w:sz w:val="32"/>
          <w:szCs w:val="32"/>
        </w:rPr>
        <w:t xml:space="preserve"> (</w:t>
      </w:r>
      <w:proofErr w:type="spellStart"/>
      <w:r w:rsidRPr="00366BEC">
        <w:rPr>
          <w:rFonts w:ascii="Arial" w:hAnsi="Arial" w:cs="Arial"/>
          <w:b/>
          <w:sz w:val="32"/>
          <w:szCs w:val="32"/>
        </w:rPr>
        <w:t>schistosomiasis</w:t>
      </w:r>
      <w:proofErr w:type="spellEnd"/>
      <w:r w:rsidRPr="00366BEC">
        <w:rPr>
          <w:rFonts w:ascii="Arial" w:hAnsi="Arial" w:cs="Arial"/>
          <w:b/>
          <w:sz w:val="32"/>
          <w:szCs w:val="32"/>
        </w:rPr>
        <w:t xml:space="preserve">; </w:t>
      </w:r>
      <w:proofErr w:type="spellStart"/>
      <w:r w:rsidRPr="00366BEC">
        <w:rPr>
          <w:rFonts w:ascii="Arial" w:hAnsi="Arial" w:cs="Arial"/>
          <w:b/>
          <w:sz w:val="32"/>
          <w:szCs w:val="32"/>
        </w:rPr>
        <w:t>bilhariziasis</w:t>
      </w:r>
      <w:proofErr w:type="spellEnd"/>
      <w:r w:rsidR="00366BEC">
        <w:rPr>
          <w:rFonts w:ascii="Arial" w:hAnsi="Arial" w:cs="Arial"/>
          <w:b/>
          <w:sz w:val="32"/>
          <w:szCs w:val="32"/>
        </w:rPr>
        <w:t>)</w:t>
      </w:r>
    </w:p>
    <w:p w14:paraId="6A487410" w14:textId="77777777" w:rsidR="00965C8A" w:rsidRDefault="00965C8A">
      <w:pPr>
        <w:pStyle w:val="normal0"/>
      </w:pPr>
    </w:p>
    <w:p w14:paraId="78998CC9" w14:textId="77777777" w:rsidR="00965C8A" w:rsidRDefault="001F5523">
      <w:pPr>
        <w:pStyle w:val="normal0"/>
      </w:pPr>
      <w:r>
        <w:t>Signs and Symptoms of the Disease:</w:t>
      </w:r>
    </w:p>
    <w:p w14:paraId="35BAE857" w14:textId="77777777" w:rsidR="00965C8A" w:rsidRDefault="001F5523" w:rsidP="00366BEC">
      <w:pPr>
        <w:pStyle w:val="normal0"/>
        <w:numPr>
          <w:ilvl w:val="0"/>
          <w:numId w:val="6"/>
        </w:numPr>
      </w:pPr>
      <w:r>
        <w:t xml:space="preserve">4 month </w:t>
      </w:r>
      <w:proofErr w:type="spellStart"/>
      <w:r>
        <w:t>hx</w:t>
      </w:r>
      <w:proofErr w:type="spellEnd"/>
      <w:r>
        <w:t xml:space="preserve"> of worsening abdominal pain, diarrhea, nausea, vomiting w/blood</w:t>
      </w:r>
    </w:p>
    <w:p w14:paraId="5E702C0B" w14:textId="77777777" w:rsidR="00965C8A" w:rsidRDefault="001F5523" w:rsidP="00366BEC">
      <w:pPr>
        <w:pStyle w:val="normal0"/>
        <w:numPr>
          <w:ilvl w:val="0"/>
          <w:numId w:val="6"/>
        </w:numPr>
      </w:pPr>
      <w:proofErr w:type="spellStart"/>
      <w:r>
        <w:t>Abdminal</w:t>
      </w:r>
      <w:proofErr w:type="spellEnd"/>
      <w:r>
        <w:t xml:space="preserve"> pain in RUQ</w:t>
      </w:r>
    </w:p>
    <w:p w14:paraId="1056850E" w14:textId="77777777" w:rsidR="00965C8A" w:rsidRDefault="001F5523" w:rsidP="00366BEC">
      <w:pPr>
        <w:pStyle w:val="normal0"/>
        <w:numPr>
          <w:ilvl w:val="0"/>
          <w:numId w:val="6"/>
        </w:numPr>
      </w:pPr>
      <w:r>
        <w:t>Enlarged liver &amp;</w:t>
      </w:r>
      <w:r>
        <w:t xml:space="preserve"> spleen w/evidence of portal hypertension</w:t>
      </w:r>
    </w:p>
    <w:p w14:paraId="623B2281" w14:textId="77777777" w:rsidR="00965C8A" w:rsidRDefault="001F5523" w:rsidP="00366BEC">
      <w:pPr>
        <w:pStyle w:val="normal0"/>
        <w:numPr>
          <w:ilvl w:val="0"/>
          <w:numId w:val="6"/>
        </w:numPr>
      </w:pPr>
      <w:r>
        <w:t>High eosinophil count</w:t>
      </w:r>
    </w:p>
    <w:p w14:paraId="11A7A674" w14:textId="77777777" w:rsidR="00965C8A" w:rsidRDefault="001F5523" w:rsidP="00366BEC">
      <w:pPr>
        <w:pStyle w:val="normal0"/>
        <w:numPr>
          <w:ilvl w:val="0"/>
          <w:numId w:val="6"/>
        </w:numPr>
      </w:pPr>
      <w:r>
        <w:t>Had recently emigrated from Kenya</w:t>
      </w:r>
    </w:p>
    <w:p w14:paraId="67A95FB8" w14:textId="77777777" w:rsidR="00965C8A" w:rsidRDefault="00965C8A">
      <w:pPr>
        <w:pStyle w:val="normal0"/>
        <w:ind w:left="1440" w:firstLine="0"/>
      </w:pPr>
    </w:p>
    <w:p w14:paraId="67C9FCCB" w14:textId="77777777" w:rsidR="00965C8A" w:rsidRDefault="001F5523">
      <w:pPr>
        <w:pStyle w:val="normal0"/>
      </w:pPr>
      <w:r>
        <w:t>Epidemiology:</w:t>
      </w:r>
    </w:p>
    <w:p w14:paraId="4AF3E79D" w14:textId="77777777" w:rsidR="00965C8A" w:rsidRDefault="001F5523" w:rsidP="00366BEC">
      <w:pPr>
        <w:pStyle w:val="normal0"/>
        <w:numPr>
          <w:ilvl w:val="0"/>
          <w:numId w:val="5"/>
        </w:numPr>
      </w:pPr>
      <w:r>
        <w:t xml:space="preserve">Caused by blood </w:t>
      </w:r>
      <w:proofErr w:type="spellStart"/>
      <w:r>
        <w:t>trematodes</w:t>
      </w:r>
      <w:proofErr w:type="spellEnd"/>
      <w:r>
        <w:t xml:space="preserve"> &amp; most cases are sporadic</w:t>
      </w:r>
    </w:p>
    <w:p w14:paraId="0A095325" w14:textId="77777777" w:rsidR="00965C8A" w:rsidRDefault="001F5523" w:rsidP="00366BEC">
      <w:pPr>
        <w:pStyle w:val="normal0"/>
        <w:numPr>
          <w:ilvl w:val="0"/>
          <w:numId w:val="5"/>
        </w:numPr>
      </w:pPr>
      <w:r>
        <w:t>The most common bacterial cause of diarrheal illness in the US as well as worldwide! In th</w:t>
      </w:r>
      <w:r>
        <w:t>e US incidence is 20 cases per 100,000</w:t>
      </w:r>
    </w:p>
    <w:p w14:paraId="22C77581" w14:textId="77777777" w:rsidR="00965C8A" w:rsidRDefault="001F5523" w:rsidP="00366BEC">
      <w:pPr>
        <w:pStyle w:val="normal0"/>
        <w:numPr>
          <w:ilvl w:val="0"/>
          <w:numId w:val="5"/>
        </w:numPr>
      </w:pPr>
      <w:r>
        <w:t>Extremely common in children under 2YO</w:t>
      </w:r>
    </w:p>
    <w:p w14:paraId="58F39F24" w14:textId="77777777" w:rsidR="00965C8A" w:rsidRDefault="001F5523" w:rsidP="00366BEC">
      <w:pPr>
        <w:pStyle w:val="normal0"/>
        <w:numPr>
          <w:ilvl w:val="0"/>
          <w:numId w:val="5"/>
        </w:numPr>
      </w:pPr>
      <w:r>
        <w:t>All age groups are at risk for acquiring infection, &amp; infants/young people particularly likely to be infected</w:t>
      </w:r>
    </w:p>
    <w:p w14:paraId="152D1AA5" w14:textId="77777777" w:rsidR="00965C8A" w:rsidRDefault="001F5523" w:rsidP="00366BEC">
      <w:pPr>
        <w:pStyle w:val="normal0"/>
        <w:numPr>
          <w:ilvl w:val="0"/>
          <w:numId w:val="5"/>
        </w:numPr>
      </w:pPr>
      <w:r>
        <w:t xml:space="preserve">S. </w:t>
      </w:r>
      <w:proofErr w:type="spellStart"/>
      <w:proofErr w:type="gramStart"/>
      <w:r>
        <w:t>mansoni</w:t>
      </w:r>
      <w:proofErr w:type="spellEnd"/>
      <w:proofErr w:type="gramEnd"/>
      <w:r>
        <w:t xml:space="preserve"> lives in the inferior mesenteric vein</w:t>
      </w:r>
    </w:p>
    <w:p w14:paraId="7E63FB5D" w14:textId="77777777" w:rsidR="00965C8A" w:rsidRDefault="001F5523" w:rsidP="00366BEC">
      <w:pPr>
        <w:pStyle w:val="normal0"/>
        <w:numPr>
          <w:ilvl w:val="0"/>
          <w:numId w:val="5"/>
        </w:numPr>
      </w:pPr>
      <w:r>
        <w:t>Adult worms are sma</w:t>
      </w:r>
      <w:r>
        <w:t>ll, 12-26mm long and .3-.6mm wide (male &amp; female remain paired together)</w:t>
      </w:r>
    </w:p>
    <w:p w14:paraId="5CAF0D4E" w14:textId="77777777" w:rsidR="00965C8A" w:rsidRDefault="001F5523" w:rsidP="00366BEC">
      <w:pPr>
        <w:pStyle w:val="normal0"/>
        <w:numPr>
          <w:ilvl w:val="0"/>
          <w:numId w:val="5"/>
        </w:numPr>
      </w:pPr>
      <w:r>
        <w:t>Adult worms mate &amp; lay eggs</w:t>
      </w:r>
    </w:p>
    <w:p w14:paraId="429E402E" w14:textId="77777777" w:rsidR="00965C8A" w:rsidRDefault="001F5523" w:rsidP="00366BEC">
      <w:pPr>
        <w:pStyle w:val="normal0"/>
        <w:numPr>
          <w:ilvl w:val="0"/>
          <w:numId w:val="5"/>
        </w:numPr>
      </w:pPr>
      <w:r>
        <w:t xml:space="preserve">S. </w:t>
      </w:r>
      <w:proofErr w:type="spellStart"/>
      <w:proofErr w:type="gramStart"/>
      <w:r>
        <w:t>mansoni</w:t>
      </w:r>
      <w:proofErr w:type="spellEnd"/>
      <w:proofErr w:type="gramEnd"/>
      <w:r>
        <w:t xml:space="preserve"> is found in parts of South America &amp; in the </w:t>
      </w:r>
      <w:proofErr w:type="spellStart"/>
      <w:r>
        <w:t>Caribean</w:t>
      </w:r>
      <w:proofErr w:type="spellEnd"/>
      <w:r>
        <w:t>, Africa &amp; the ME</w:t>
      </w:r>
    </w:p>
    <w:p w14:paraId="4C10EC31" w14:textId="77777777" w:rsidR="00965C8A" w:rsidRDefault="001F5523" w:rsidP="00366BEC">
      <w:pPr>
        <w:pStyle w:val="normal0"/>
        <w:numPr>
          <w:ilvl w:val="0"/>
          <w:numId w:val="5"/>
        </w:numPr>
      </w:pPr>
      <w:r>
        <w:t xml:space="preserve">S. </w:t>
      </w:r>
      <w:proofErr w:type="spellStart"/>
      <w:proofErr w:type="gramStart"/>
      <w:r>
        <w:t>japonicum</w:t>
      </w:r>
      <w:proofErr w:type="spellEnd"/>
      <w:proofErr w:type="gramEnd"/>
      <w:r>
        <w:t xml:space="preserve"> is found in China &amp; SE Asia</w:t>
      </w:r>
    </w:p>
    <w:p w14:paraId="4041F894" w14:textId="77777777" w:rsidR="00965C8A" w:rsidRDefault="001F5523" w:rsidP="00366BEC">
      <w:pPr>
        <w:pStyle w:val="normal0"/>
        <w:numPr>
          <w:ilvl w:val="0"/>
          <w:numId w:val="5"/>
        </w:numPr>
      </w:pPr>
      <w:r>
        <w:t xml:space="preserve">S. </w:t>
      </w:r>
      <w:proofErr w:type="spellStart"/>
      <w:proofErr w:type="gramStart"/>
      <w:r>
        <w:t>haematobiym</w:t>
      </w:r>
      <w:proofErr w:type="spellEnd"/>
      <w:proofErr w:type="gramEnd"/>
      <w:r>
        <w:t xml:space="preserve"> is found in Africa</w:t>
      </w:r>
      <w:r>
        <w:t xml:space="preserve"> &amp; the ME</w:t>
      </w:r>
    </w:p>
    <w:p w14:paraId="3DEA2B5E" w14:textId="77777777" w:rsidR="00965C8A" w:rsidRDefault="001F5523" w:rsidP="00366BEC">
      <w:pPr>
        <w:pStyle w:val="normal0"/>
        <w:numPr>
          <w:ilvl w:val="0"/>
          <w:numId w:val="5"/>
        </w:numPr>
      </w:pPr>
      <w:r>
        <w:t>About 200 million people are infected w/</w:t>
      </w:r>
      <w:proofErr w:type="spellStart"/>
      <w:r>
        <w:t>schistosomes</w:t>
      </w:r>
      <w:proofErr w:type="spellEnd"/>
      <w:r>
        <w:t>.</w:t>
      </w:r>
    </w:p>
    <w:p w14:paraId="5B8E9AAD" w14:textId="77777777" w:rsidR="00965C8A" w:rsidRDefault="001F5523" w:rsidP="00366BEC">
      <w:pPr>
        <w:pStyle w:val="normal0"/>
        <w:numPr>
          <w:ilvl w:val="0"/>
          <w:numId w:val="5"/>
        </w:numPr>
      </w:pPr>
      <w:r>
        <w:t>There are 200,000 deaths per year</w:t>
      </w:r>
    </w:p>
    <w:p w14:paraId="08D0BD69" w14:textId="77777777" w:rsidR="00965C8A" w:rsidRDefault="001F5523" w:rsidP="00366BEC">
      <w:pPr>
        <w:pStyle w:val="normal0"/>
        <w:numPr>
          <w:ilvl w:val="0"/>
          <w:numId w:val="5"/>
        </w:numPr>
      </w:pPr>
      <w:r>
        <w:t>Of parasites, 2</w:t>
      </w:r>
      <w:r>
        <w:rPr>
          <w:vertAlign w:val="superscript"/>
        </w:rPr>
        <w:t>nd</w:t>
      </w:r>
      <w:r>
        <w:t xml:space="preserve"> to malaria in mortality rate</w:t>
      </w:r>
    </w:p>
    <w:p w14:paraId="4AFF2176" w14:textId="77777777" w:rsidR="00965C8A" w:rsidRDefault="00965C8A">
      <w:pPr>
        <w:pStyle w:val="normal0"/>
        <w:ind w:left="1440" w:firstLine="0"/>
      </w:pPr>
    </w:p>
    <w:p w14:paraId="38B38E2D" w14:textId="77777777" w:rsidR="00965C8A" w:rsidRDefault="001F5523">
      <w:pPr>
        <w:pStyle w:val="normal0"/>
      </w:pPr>
      <w:r>
        <w:t>Pathology:</w:t>
      </w:r>
    </w:p>
    <w:p w14:paraId="5B6213D0" w14:textId="77777777" w:rsidR="00965C8A" w:rsidRDefault="001F5523" w:rsidP="00366BEC">
      <w:pPr>
        <w:pStyle w:val="normal0"/>
        <w:numPr>
          <w:ilvl w:val="0"/>
          <w:numId w:val="4"/>
        </w:numPr>
      </w:pPr>
      <w:r>
        <w:t>Life cycle begins with eggs, shed with feces of a patient in the endemic area. Under optimal condit</w:t>
      </w:r>
      <w:r>
        <w:t xml:space="preserve">ions for eggs in bodies of fresh water hatch and release </w:t>
      </w:r>
      <w:proofErr w:type="spellStart"/>
      <w:r>
        <w:t>miracidia</w:t>
      </w:r>
      <w:proofErr w:type="spellEnd"/>
      <w:r>
        <w:t xml:space="preserve">, which swim and penetrate specific snail intermediate hosts. The stages in the snail include 2 generations of </w:t>
      </w:r>
      <w:proofErr w:type="spellStart"/>
      <w:r>
        <w:t>sporocytes</w:t>
      </w:r>
      <w:proofErr w:type="spellEnd"/>
      <w:r>
        <w:t xml:space="preserve"> and the production of </w:t>
      </w:r>
      <w:proofErr w:type="spellStart"/>
      <w:proofErr w:type="gramStart"/>
      <w:r>
        <w:t>cercariae</w:t>
      </w:r>
      <w:proofErr w:type="spellEnd"/>
      <w:r>
        <w:t xml:space="preserve"> which</w:t>
      </w:r>
      <w:proofErr w:type="gramEnd"/>
      <w:r>
        <w:t xml:space="preserve"> swim &amp; penetrate the skin of t</w:t>
      </w:r>
      <w:r>
        <w:t xml:space="preserve">he human host, where they shed their forked tail, becoming </w:t>
      </w:r>
      <w:proofErr w:type="spellStart"/>
      <w:r>
        <w:t>schistosomulae</w:t>
      </w:r>
      <w:proofErr w:type="spellEnd"/>
      <w:r>
        <w:t xml:space="preserve">. </w:t>
      </w:r>
    </w:p>
    <w:p w14:paraId="5C9EE6A1" w14:textId="77777777" w:rsidR="00965C8A" w:rsidRDefault="001F5523" w:rsidP="00366BEC">
      <w:pPr>
        <w:pStyle w:val="normal0"/>
        <w:numPr>
          <w:ilvl w:val="0"/>
          <w:numId w:val="4"/>
        </w:numPr>
      </w:pPr>
      <w:r>
        <w:t xml:space="preserve">The </w:t>
      </w:r>
      <w:proofErr w:type="spellStart"/>
      <w:r>
        <w:t>schistosomulae</w:t>
      </w:r>
      <w:proofErr w:type="spellEnd"/>
      <w:r>
        <w:t xml:space="preserve"> migrate through several tissues and stages to their residence in the veins. </w:t>
      </w:r>
    </w:p>
    <w:p w14:paraId="5702A70C" w14:textId="77777777" w:rsidR="00965C8A" w:rsidRDefault="001F5523" w:rsidP="00366BEC">
      <w:pPr>
        <w:pStyle w:val="normal0"/>
        <w:numPr>
          <w:ilvl w:val="0"/>
          <w:numId w:val="4"/>
        </w:numPr>
      </w:pPr>
      <w:r>
        <w:t xml:space="preserve">In the venous blood, adult male and female worms mate, and the female lays eggs 4 to 6 </w:t>
      </w:r>
      <w:proofErr w:type="spellStart"/>
      <w:r>
        <w:t>weeks.after</w:t>
      </w:r>
      <w:proofErr w:type="spellEnd"/>
      <w:r>
        <w:t xml:space="preserve"> </w:t>
      </w:r>
      <w:proofErr w:type="spellStart"/>
      <w:r>
        <w:t>cercarial</w:t>
      </w:r>
      <w:proofErr w:type="spellEnd"/>
      <w:r>
        <w:t xml:space="preserve"> penetration. Adult worms rarely are pathogenic. The female adult worm lives for appropriately 3 to 8 years and lays eggs throughout her life span. </w:t>
      </w:r>
      <w:r>
        <w:t xml:space="preserve">Adult worms reside in the lumen of mesenteric blood vessels for decades and resist all known immunologic effector mechanisms. The eggs are moved progressively toward the lumen of the intestine and are eliminated with feces. </w:t>
      </w:r>
    </w:p>
    <w:p w14:paraId="1BCF5B2B" w14:textId="77777777" w:rsidR="00965C8A" w:rsidRDefault="001F5523" w:rsidP="00366BEC">
      <w:pPr>
        <w:pStyle w:val="normal0"/>
        <w:numPr>
          <w:ilvl w:val="0"/>
          <w:numId w:val="4"/>
        </w:numPr>
      </w:pPr>
      <w:r>
        <w:t xml:space="preserve">Chronic </w:t>
      </w:r>
      <w:proofErr w:type="spellStart"/>
      <w:r>
        <w:t>schistosomiasis</w:t>
      </w:r>
      <w:proofErr w:type="spellEnd"/>
      <w:r>
        <w:t xml:space="preserve"> is due </w:t>
      </w:r>
      <w:r>
        <w:t xml:space="preserve">to immunologic reactions to </w:t>
      </w:r>
      <w:proofErr w:type="spellStart"/>
      <w:r>
        <w:t>Schistosoma</w:t>
      </w:r>
      <w:proofErr w:type="spellEnd"/>
      <w:r>
        <w:t xml:space="preserve"> eggs trapped in tissues. Multiple immune responses are induced by infection; however, the dominant immunologic effector mechanism involves </w:t>
      </w:r>
      <w:proofErr w:type="spellStart"/>
      <w:r>
        <w:t>IgE</w:t>
      </w:r>
      <w:proofErr w:type="spellEnd"/>
      <w:r>
        <w:t xml:space="preserve">, mast cells, and eosinophils. As with other </w:t>
      </w:r>
      <w:proofErr w:type="spellStart"/>
      <w:r>
        <w:t>helminth</w:t>
      </w:r>
      <w:proofErr w:type="spellEnd"/>
      <w:r>
        <w:t xml:space="preserve"> infections, the hall</w:t>
      </w:r>
      <w:r>
        <w:t xml:space="preserve">mark of </w:t>
      </w:r>
      <w:proofErr w:type="spellStart"/>
      <w:r>
        <w:t>Schistosoma</w:t>
      </w:r>
      <w:proofErr w:type="spellEnd"/>
      <w:r>
        <w:t xml:space="preserve"> infection is the appearance of </w:t>
      </w:r>
      <w:r>
        <w:lastRenderedPageBreak/>
        <w:t xml:space="preserve">eosinophilia and </w:t>
      </w:r>
      <w:proofErr w:type="spellStart"/>
      <w:r>
        <w:t>hypergammaglobulinemia</w:t>
      </w:r>
      <w:proofErr w:type="spellEnd"/>
      <w:r>
        <w:t xml:space="preserve"> of the </w:t>
      </w:r>
      <w:proofErr w:type="spellStart"/>
      <w:r>
        <w:t>IgE</w:t>
      </w:r>
      <w:proofErr w:type="spellEnd"/>
      <w:r>
        <w:t xml:space="preserve"> </w:t>
      </w:r>
      <w:proofErr w:type="spellStart"/>
      <w:r>
        <w:t>isotype</w:t>
      </w:r>
      <w:proofErr w:type="spellEnd"/>
      <w:r>
        <w:t xml:space="preserve">. Activation of the Th2 subset of T cells (cellular immunity) in response to egg antigens in the liver is the primary pathogenic element in </w:t>
      </w:r>
      <w:proofErr w:type="spellStart"/>
      <w:r>
        <w:t>schisto</w:t>
      </w:r>
      <w:r>
        <w:t>somiasis</w:t>
      </w:r>
      <w:proofErr w:type="spellEnd"/>
      <w:r>
        <w:t xml:space="preserve">. The Th2 response contributes to a profound granulomatous reaction (antigen specific T cells, macrophages, and eosinophils) resulting in some of the symptoms of chronic disease. Manifestations of granulomatous inflammation in liver include portal </w:t>
      </w:r>
      <w:r>
        <w:t xml:space="preserve">hypertension with hematemesis and </w:t>
      </w:r>
      <w:proofErr w:type="spellStart"/>
      <w:r>
        <w:t>heptasplenomegaly</w:t>
      </w:r>
      <w:proofErr w:type="spellEnd"/>
      <w:r>
        <w:t xml:space="preserve">. In the latter stages of the disease, fibroblasts, giant cells, and </w:t>
      </w:r>
      <w:proofErr w:type="gramStart"/>
      <w:r>
        <w:t>B lymphocytes</w:t>
      </w:r>
      <w:proofErr w:type="gramEnd"/>
      <w:r>
        <w:t xml:space="preserve"> predominate, and the significant pathologic changes at that time, collagen deposition and fibrosis, result in liver damage</w:t>
      </w:r>
      <w:r>
        <w:t xml:space="preserve"> that may be only partially reversible. </w:t>
      </w:r>
    </w:p>
    <w:p w14:paraId="7CE931FF" w14:textId="77777777" w:rsidR="00965C8A" w:rsidRDefault="00965C8A">
      <w:pPr>
        <w:pStyle w:val="normal0"/>
      </w:pPr>
    </w:p>
    <w:p w14:paraId="192FF861" w14:textId="77777777" w:rsidR="00965C8A" w:rsidRDefault="001F5523">
      <w:pPr>
        <w:pStyle w:val="normal0"/>
        <w:jc w:val="both"/>
      </w:pPr>
      <w:r>
        <w:t xml:space="preserve">Diagnosis: Diagnosed based off of </w:t>
      </w:r>
      <w:proofErr w:type="spellStart"/>
      <w:r>
        <w:t>trichrome</w:t>
      </w:r>
      <w:proofErr w:type="spellEnd"/>
      <w:r>
        <w:t xml:space="preserve"> staining identifying characteristic fluke eggs </w:t>
      </w:r>
    </w:p>
    <w:p w14:paraId="605854B6" w14:textId="77777777" w:rsidR="00965C8A" w:rsidRDefault="00965C8A">
      <w:pPr>
        <w:pStyle w:val="normal0"/>
        <w:jc w:val="both"/>
      </w:pPr>
    </w:p>
    <w:p w14:paraId="37B6C227" w14:textId="77777777" w:rsidR="00965C8A" w:rsidRDefault="00965C8A">
      <w:pPr>
        <w:pStyle w:val="normal0"/>
        <w:jc w:val="both"/>
      </w:pPr>
    </w:p>
    <w:p w14:paraId="79432B8E" w14:textId="77777777" w:rsidR="00965C8A" w:rsidRDefault="001F5523">
      <w:pPr>
        <w:pStyle w:val="normal0"/>
        <w:jc w:val="both"/>
      </w:pPr>
      <w:r>
        <w:rPr>
          <w:noProof/>
          <w:lang w:eastAsia="en-US"/>
        </w:rPr>
        <w:drawing>
          <wp:inline distT="0" distB="0" distL="0" distR="0" wp14:anchorId="21DEA500" wp14:editId="756CC3F1">
            <wp:extent cx="1257300" cy="1333500"/>
            <wp:effectExtent l="0" t="0" r="12700" b="127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tretch>
                      <a:fillRect/>
                    </a:stretch>
                  </pic:blipFill>
                  <pic:spPr>
                    <a:xfrm>
                      <a:off x="0" y="0"/>
                      <a:ext cx="1257300" cy="1333500"/>
                    </a:xfrm>
                    <a:prstGeom prst="rect">
                      <a:avLst/>
                    </a:prstGeom>
                  </pic:spPr>
                </pic:pic>
              </a:graphicData>
            </a:graphic>
          </wp:inline>
        </w:drawing>
      </w:r>
    </w:p>
    <w:p w14:paraId="20EADB2D" w14:textId="77777777" w:rsidR="00965C8A" w:rsidRDefault="00965C8A">
      <w:pPr>
        <w:pStyle w:val="normal0"/>
        <w:jc w:val="both"/>
      </w:pPr>
    </w:p>
    <w:p w14:paraId="6CE71919" w14:textId="77777777" w:rsidR="00965C8A" w:rsidRDefault="001F5523">
      <w:pPr>
        <w:pStyle w:val="normal0"/>
        <w:jc w:val="both"/>
      </w:pPr>
      <w:r>
        <w:rPr>
          <w:noProof/>
          <w:lang w:eastAsia="en-US"/>
        </w:rPr>
        <w:drawing>
          <wp:inline distT="0" distB="0" distL="0" distR="0" wp14:anchorId="68A5F7AC" wp14:editId="421B7CE4">
            <wp:extent cx="5935980" cy="318770"/>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tretch>
                      <a:fillRect/>
                    </a:stretch>
                  </pic:blipFill>
                  <pic:spPr>
                    <a:xfrm>
                      <a:off x="0" y="0"/>
                      <a:ext cx="5935980" cy="318770"/>
                    </a:xfrm>
                    <a:prstGeom prst="rect">
                      <a:avLst/>
                    </a:prstGeom>
                  </pic:spPr>
                </pic:pic>
              </a:graphicData>
            </a:graphic>
          </wp:inline>
        </w:drawing>
      </w:r>
    </w:p>
    <w:p w14:paraId="78BAC66B" w14:textId="77777777" w:rsidR="00965C8A" w:rsidRDefault="00965C8A">
      <w:pPr>
        <w:pStyle w:val="normal0"/>
        <w:ind w:left="720" w:firstLine="0"/>
      </w:pPr>
    </w:p>
    <w:p w14:paraId="305AFE45" w14:textId="77777777" w:rsidR="00965C8A" w:rsidRDefault="001F5523">
      <w:pPr>
        <w:pStyle w:val="normal0"/>
      </w:pPr>
      <w:r>
        <w:t xml:space="preserve">Differential diagnosis: </w:t>
      </w:r>
    </w:p>
    <w:p w14:paraId="2DD9593C" w14:textId="77777777" w:rsidR="00965C8A" w:rsidRDefault="001F5523" w:rsidP="00366BEC">
      <w:pPr>
        <w:pStyle w:val="normal0"/>
        <w:numPr>
          <w:ilvl w:val="0"/>
          <w:numId w:val="1"/>
        </w:numPr>
      </w:pPr>
      <w:r>
        <w:t>Dysentery syndrome</w:t>
      </w:r>
    </w:p>
    <w:p w14:paraId="0641272C" w14:textId="77777777" w:rsidR="00965C8A" w:rsidRDefault="001F5523" w:rsidP="00366BEC">
      <w:pPr>
        <w:pStyle w:val="normal0"/>
        <w:numPr>
          <w:ilvl w:val="0"/>
          <w:numId w:val="1"/>
        </w:numPr>
      </w:pPr>
      <w:r>
        <w:t>Infectious gastroenteritis (Salmonella)</w:t>
      </w:r>
    </w:p>
    <w:p w14:paraId="0C886455" w14:textId="77777777" w:rsidR="00965C8A" w:rsidRDefault="001F5523" w:rsidP="00366BEC">
      <w:pPr>
        <w:pStyle w:val="normal0"/>
        <w:numPr>
          <w:ilvl w:val="0"/>
          <w:numId w:val="1"/>
        </w:numPr>
      </w:pPr>
      <w:r>
        <w:t>Inflammatory bowel disease</w:t>
      </w:r>
    </w:p>
    <w:p w14:paraId="677DBDD5" w14:textId="77777777" w:rsidR="00965C8A" w:rsidRDefault="001F5523" w:rsidP="00366BEC">
      <w:pPr>
        <w:pStyle w:val="normal0"/>
        <w:numPr>
          <w:ilvl w:val="0"/>
          <w:numId w:val="1"/>
        </w:numPr>
      </w:pPr>
      <w:proofErr w:type="spellStart"/>
      <w:r>
        <w:t>Sch</w:t>
      </w:r>
      <w:r>
        <w:t>istosomiasis</w:t>
      </w:r>
      <w:proofErr w:type="spellEnd"/>
    </w:p>
    <w:p w14:paraId="5DE893FB" w14:textId="77777777" w:rsidR="00965C8A" w:rsidRDefault="001F5523" w:rsidP="00366BEC">
      <w:pPr>
        <w:pStyle w:val="normal0"/>
        <w:numPr>
          <w:ilvl w:val="0"/>
          <w:numId w:val="1"/>
        </w:numPr>
      </w:pPr>
      <w:r>
        <w:t>Typhoid fever</w:t>
      </w:r>
    </w:p>
    <w:p w14:paraId="3E81EAD6" w14:textId="77777777" w:rsidR="00965C8A" w:rsidRDefault="001F5523" w:rsidP="00366BEC">
      <w:pPr>
        <w:pStyle w:val="normal0"/>
        <w:numPr>
          <w:ilvl w:val="0"/>
          <w:numId w:val="1"/>
        </w:numPr>
      </w:pPr>
      <w:r>
        <w:t>Viral hepatitis</w:t>
      </w:r>
    </w:p>
    <w:p w14:paraId="191AE7BD" w14:textId="77777777" w:rsidR="00965C8A" w:rsidRDefault="00965C8A">
      <w:pPr>
        <w:pStyle w:val="normal0"/>
        <w:ind w:left="1080" w:firstLine="0"/>
      </w:pPr>
    </w:p>
    <w:p w14:paraId="383908E4" w14:textId="77777777" w:rsidR="00965C8A" w:rsidRDefault="001F5523">
      <w:pPr>
        <w:pStyle w:val="normal0"/>
      </w:pPr>
      <w:r>
        <w:t>Prevention &amp; Treatment</w:t>
      </w:r>
    </w:p>
    <w:p w14:paraId="7F16D463" w14:textId="77777777" w:rsidR="00965C8A" w:rsidRDefault="001F5523">
      <w:pPr>
        <w:pStyle w:val="normal0"/>
      </w:pPr>
      <w:r>
        <w:t>Prevention:</w:t>
      </w:r>
    </w:p>
    <w:p w14:paraId="29DED7B2" w14:textId="77777777" w:rsidR="00965C8A" w:rsidRDefault="001F5523" w:rsidP="00366BEC">
      <w:pPr>
        <w:pStyle w:val="normal0"/>
        <w:numPr>
          <w:ilvl w:val="0"/>
          <w:numId w:val="2"/>
        </w:numPr>
      </w:pPr>
      <w:r>
        <w:t>Really no way; Avoid fresh water in endemic areas</w:t>
      </w:r>
    </w:p>
    <w:p w14:paraId="650599B5" w14:textId="77777777" w:rsidR="00965C8A" w:rsidRDefault="001F5523">
      <w:pPr>
        <w:pStyle w:val="normal0"/>
      </w:pPr>
      <w:r>
        <w:t>Treatment:</w:t>
      </w:r>
    </w:p>
    <w:p w14:paraId="22E6B0FD" w14:textId="77777777" w:rsidR="00965C8A" w:rsidRDefault="001F5523" w:rsidP="00366BEC">
      <w:pPr>
        <w:pStyle w:val="normal0"/>
        <w:numPr>
          <w:ilvl w:val="0"/>
          <w:numId w:val="2"/>
        </w:numPr>
      </w:pPr>
      <w:proofErr w:type="spellStart"/>
      <w:r>
        <w:t>Praziquantel</w:t>
      </w:r>
      <w:proofErr w:type="spellEnd"/>
    </w:p>
    <w:p w14:paraId="07209389" w14:textId="77777777" w:rsidR="00965C8A" w:rsidRDefault="001F5523" w:rsidP="00366BEC">
      <w:pPr>
        <w:pStyle w:val="normal0"/>
        <w:numPr>
          <w:ilvl w:val="0"/>
          <w:numId w:val="2"/>
        </w:numPr>
      </w:pPr>
      <w:r>
        <w:t xml:space="preserve">In areas where </w:t>
      </w:r>
      <w:proofErr w:type="spellStart"/>
      <w:r>
        <w:t>praziquantel</w:t>
      </w:r>
      <w:proofErr w:type="spellEnd"/>
      <w:r>
        <w:t xml:space="preserve"> is less effective, use </w:t>
      </w:r>
      <w:proofErr w:type="spellStart"/>
      <w:r>
        <w:t>Oxamniquine</w:t>
      </w:r>
      <w:proofErr w:type="spellEnd"/>
    </w:p>
    <w:p w14:paraId="07C89609" w14:textId="77777777" w:rsidR="00965C8A" w:rsidRDefault="001F5523">
      <w:pPr>
        <w:pStyle w:val="normal0"/>
        <w:ind w:left="1440" w:firstLine="0"/>
      </w:pPr>
      <w:r>
        <w:t xml:space="preserve"> </w:t>
      </w:r>
    </w:p>
    <w:p w14:paraId="353091A4" w14:textId="77777777" w:rsidR="00965C8A" w:rsidRDefault="001F5523">
      <w:pPr>
        <w:pStyle w:val="normal0"/>
      </w:pPr>
      <w:r>
        <w:t>Complications</w:t>
      </w:r>
    </w:p>
    <w:p w14:paraId="2350072A" w14:textId="77777777" w:rsidR="00965C8A" w:rsidRDefault="001F5523" w:rsidP="00366BEC">
      <w:pPr>
        <w:pStyle w:val="normal0"/>
        <w:numPr>
          <w:ilvl w:val="0"/>
          <w:numId w:val="3"/>
        </w:numPr>
      </w:pPr>
      <w:r>
        <w:t>Allergic dermatitis</w:t>
      </w:r>
    </w:p>
    <w:p w14:paraId="502F8DC7" w14:textId="77777777" w:rsidR="00965C8A" w:rsidRDefault="001F5523" w:rsidP="00366BEC">
      <w:pPr>
        <w:pStyle w:val="normal0"/>
        <w:numPr>
          <w:ilvl w:val="0"/>
          <w:numId w:val="3"/>
        </w:numPr>
      </w:pPr>
      <w:r>
        <w:t>Katayama fever</w:t>
      </w:r>
    </w:p>
    <w:p w14:paraId="4B5EFBFC" w14:textId="77777777" w:rsidR="00965C8A" w:rsidRDefault="001F5523" w:rsidP="00366BEC">
      <w:pPr>
        <w:pStyle w:val="normal0"/>
        <w:numPr>
          <w:ilvl w:val="0"/>
          <w:numId w:val="3"/>
        </w:numPr>
      </w:pPr>
      <w:r>
        <w:t xml:space="preserve">Chronic </w:t>
      </w:r>
      <w:proofErr w:type="spellStart"/>
      <w:r>
        <w:t>schistosomiasis</w:t>
      </w:r>
      <w:proofErr w:type="spellEnd"/>
      <w:r>
        <w:t xml:space="preserve"> of the bladder</w:t>
      </w:r>
    </w:p>
    <w:p w14:paraId="15F5D395" w14:textId="77777777" w:rsidR="00965C8A" w:rsidRDefault="00965C8A">
      <w:pPr>
        <w:pStyle w:val="normal0"/>
      </w:pPr>
    </w:p>
    <w:bookmarkEnd w:id="0"/>
    <w:p w14:paraId="52FBD31B" w14:textId="77777777" w:rsidR="00965C8A" w:rsidRDefault="00965C8A" w:rsidP="001F5523">
      <w:pPr>
        <w:pStyle w:val="normal0"/>
        <w:ind w:left="0" w:firstLine="0"/>
      </w:pPr>
    </w:p>
    <w:sectPr w:rsidR="00965C8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1134A"/>
    <w:multiLevelType w:val="hybridMultilevel"/>
    <w:tmpl w:val="6120924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201613E9"/>
    <w:multiLevelType w:val="hybridMultilevel"/>
    <w:tmpl w:val="EA7E9A5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
    <w:nsid w:val="2EBA5C6A"/>
    <w:multiLevelType w:val="hybridMultilevel"/>
    <w:tmpl w:val="39DCF980"/>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nsid w:val="3063743C"/>
    <w:multiLevelType w:val="hybridMultilevel"/>
    <w:tmpl w:val="04686D90"/>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nsid w:val="49FD2C7D"/>
    <w:multiLevelType w:val="hybridMultilevel"/>
    <w:tmpl w:val="FEB88D2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5">
    <w:nsid w:val="7ABF328A"/>
    <w:multiLevelType w:val="hybridMultilevel"/>
    <w:tmpl w:val="35AEA4C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965C8A"/>
    <w:rsid w:val="001F5523"/>
    <w:rsid w:val="00366BEC"/>
    <w:rsid w:val="00965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E1D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ind w:left="-1" w:right="-1" w:hanging="1"/>
    </w:pPr>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66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BE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ind w:left="-1" w:right="-1" w:hanging="1"/>
    </w:pPr>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66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BE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3193</Characters>
  <Application>Microsoft Macintosh Word</Application>
  <DocSecurity>0</DocSecurity>
  <Lines>26</Lines>
  <Paragraphs>7</Paragraphs>
  <ScaleCrop>false</ScaleCrop>
  <Company>University of Toledo College of Medicine</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 Case 52-Schistosoma mansoni.doc.docx</dc:title>
  <cp:lastModifiedBy>Elisa Furay</cp:lastModifiedBy>
  <cp:revision>3</cp:revision>
  <dcterms:created xsi:type="dcterms:W3CDTF">2012-11-02T20:15:00Z</dcterms:created>
  <dcterms:modified xsi:type="dcterms:W3CDTF">2012-11-02T20:16:00Z</dcterms:modified>
</cp:coreProperties>
</file>